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C3A747" w14:textId="77777777" w:rsidR="004B6693" w:rsidRPr="004B6693" w:rsidRDefault="004F5BB4" w:rsidP="004B6693">
      <w:pPr>
        <w:rPr>
          <w:b/>
        </w:rPr>
      </w:pPr>
      <w:r>
        <w:rPr>
          <w:b/>
        </w:rPr>
        <w:t xml:space="preserve">Coronavirus (Scotland) Act 2020 </w:t>
      </w:r>
      <w:proofErr w:type="gramStart"/>
      <w:r>
        <w:rPr>
          <w:b/>
        </w:rPr>
        <w:t xml:space="preserve">- </w:t>
      </w:r>
      <w:r w:rsidR="004B6693">
        <w:rPr>
          <w:b/>
        </w:rPr>
        <w:t xml:space="preserve"> Guidance</w:t>
      </w:r>
      <w:proofErr w:type="gramEnd"/>
      <w:r w:rsidR="004B6693">
        <w:rPr>
          <w:b/>
        </w:rPr>
        <w:t xml:space="preserve">  on </w:t>
      </w:r>
      <w:r w:rsidR="004B6693" w:rsidRPr="004B6693">
        <w:rPr>
          <w:b/>
        </w:rPr>
        <w:t>m</w:t>
      </w:r>
      <w:r w:rsidR="004B6693" w:rsidRPr="004B6693">
        <w:rPr>
          <w:rFonts w:cs="Arial"/>
          <w:b/>
          <w:bCs/>
          <w:szCs w:val="24"/>
        </w:rPr>
        <w:t xml:space="preserve">easures to ensure that renters in both the social and private rented sectors are protected while confined to their homes </w:t>
      </w:r>
    </w:p>
    <w:p w14:paraId="5F7AD5D7" w14:textId="56EEB2D3" w:rsidR="004F5BB4" w:rsidRPr="004B6693" w:rsidRDefault="004F5BB4" w:rsidP="004F5BB4">
      <w:pPr>
        <w:rPr>
          <w:b/>
        </w:rPr>
      </w:pPr>
    </w:p>
    <w:p w14:paraId="066A94AB" w14:textId="77777777" w:rsidR="004F5BB4" w:rsidRDefault="004F5BB4" w:rsidP="004F5BB4">
      <w:pPr>
        <w:rPr>
          <w:b/>
        </w:rPr>
      </w:pPr>
      <w:bookmarkStart w:id="0" w:name="_GoBack"/>
      <w:bookmarkEnd w:id="0"/>
    </w:p>
    <w:p w14:paraId="41D60564" w14:textId="77777777" w:rsidR="004F5BB4" w:rsidRDefault="004F5BB4" w:rsidP="004F5BB4">
      <w:pPr>
        <w:rPr>
          <w:b/>
        </w:rPr>
      </w:pPr>
      <w:r>
        <w:rPr>
          <w:b/>
        </w:rPr>
        <w:t>Introduction</w:t>
      </w:r>
    </w:p>
    <w:p w14:paraId="4A9999AE" w14:textId="77777777" w:rsidR="004F5BB4" w:rsidRDefault="004F5BB4" w:rsidP="004F5BB4">
      <w:pPr>
        <w:rPr>
          <w:b/>
        </w:rPr>
      </w:pPr>
    </w:p>
    <w:p w14:paraId="4E5B75C9" w14:textId="1AA43E6E" w:rsidR="004B6693" w:rsidRDefault="004F5BB4" w:rsidP="004B6693">
      <w:r>
        <w:t xml:space="preserve">This short guidance note is intended to give </w:t>
      </w:r>
      <w:r w:rsidR="004B6693">
        <w:t>stakeholders</w:t>
      </w:r>
      <w:r>
        <w:t xml:space="preserve"> an overview of </w:t>
      </w:r>
      <w:r w:rsidR="004B6693">
        <w:t xml:space="preserve">the </w:t>
      </w:r>
      <w:proofErr w:type="gramStart"/>
      <w:r w:rsidR="004B6693">
        <w:t>measures  to</w:t>
      </w:r>
      <w:proofErr w:type="gramEnd"/>
      <w:r w:rsidR="004B6693">
        <w:t xml:space="preserve"> protect renters contained within the Coronavirus (Scotland) Act 2020, which comes into force on Tuesday 7 April.  </w:t>
      </w:r>
    </w:p>
    <w:p w14:paraId="5F761851" w14:textId="77777777" w:rsidR="004F5BB4" w:rsidRDefault="004F5BB4" w:rsidP="004F5BB4"/>
    <w:p w14:paraId="508FB2F1" w14:textId="53A22066" w:rsidR="004F5BB4" w:rsidRDefault="004F5BB4" w:rsidP="004F5BB4">
      <w:r>
        <w:t xml:space="preserve">This is not a comprehensive or in depth overview of the provisions </w:t>
      </w:r>
      <w:r w:rsidR="00D20FBE">
        <w:t>r</w:t>
      </w:r>
      <w:r>
        <w:t xml:space="preserve">ather it is intended to highlight </w:t>
      </w:r>
      <w:r w:rsidR="004B6693">
        <w:t xml:space="preserve">the </w:t>
      </w:r>
      <w:r>
        <w:t>key changes made by the Act</w:t>
      </w:r>
      <w:r w:rsidR="004B6693">
        <w:t>.</w:t>
      </w:r>
    </w:p>
    <w:p w14:paraId="33D0B2D9" w14:textId="77777777" w:rsidR="004F5BB4" w:rsidRDefault="004F5BB4" w:rsidP="004F5BB4"/>
    <w:p w14:paraId="0D3781CD" w14:textId="77777777" w:rsidR="004F5BB4" w:rsidRDefault="004F5BB4" w:rsidP="004F5BB4">
      <w:pPr>
        <w:rPr>
          <w:b/>
        </w:rPr>
      </w:pPr>
      <w:r w:rsidRPr="009A46EB">
        <w:rPr>
          <w:b/>
        </w:rPr>
        <w:t>Background</w:t>
      </w:r>
    </w:p>
    <w:p w14:paraId="257B5251" w14:textId="77777777" w:rsidR="004F5BB4" w:rsidRPr="00675471" w:rsidRDefault="004F5BB4" w:rsidP="004F5BB4"/>
    <w:p w14:paraId="0711B3CA" w14:textId="77777777" w:rsidR="004F5BB4" w:rsidRPr="002D5A28" w:rsidRDefault="004F5BB4" w:rsidP="00727921">
      <w:pPr>
        <w:rPr>
          <w:bCs/>
        </w:rPr>
      </w:pPr>
      <w:r>
        <w:t xml:space="preserve">The Coronavirus (Scotland) Bill completed all stages of the legislative process in the Scottish Parliament on Wednesday 1 April.  </w:t>
      </w:r>
    </w:p>
    <w:p w14:paraId="4D2AEF00" w14:textId="77777777" w:rsidR="004F5BB4" w:rsidRDefault="004F5BB4" w:rsidP="00727921">
      <w:pPr>
        <w:rPr>
          <w:bCs/>
        </w:rPr>
      </w:pPr>
    </w:p>
    <w:p w14:paraId="031FA9B2" w14:textId="4457EAA3" w:rsidR="004F5BB4" w:rsidRDefault="004F5BB4" w:rsidP="00727921">
      <w:r>
        <w:rPr>
          <w:bCs/>
        </w:rPr>
        <w:t xml:space="preserve">All provisions of the Act are temporary in their duration.  </w:t>
      </w:r>
      <w:r>
        <w:t>The Act is intended to provide relief during the coronavirus outbreak, and the disruption caused by the outbreak. The Scottish Government’s clear commitment is that none of its provisions will last longer than is necessary and proportionate to deal with the outbreak and its effects.</w:t>
      </w:r>
    </w:p>
    <w:p w14:paraId="7BD14322" w14:textId="77777777" w:rsidR="00727921" w:rsidRDefault="00727921" w:rsidP="00727921"/>
    <w:p w14:paraId="70BDCB35" w14:textId="260959FA" w:rsidR="004F5BB4" w:rsidRDefault="004F5BB4" w:rsidP="00727921">
      <w:r>
        <w:t xml:space="preserve">The Act provides that it expires on </w:t>
      </w:r>
      <w:r>
        <w:rPr>
          <w:b/>
        </w:rPr>
        <w:t>30 September 2020</w:t>
      </w:r>
      <w:r>
        <w:t xml:space="preserve">, six months after coming into force. However, that period can be extended by the Scottish Parliament if required: first to </w:t>
      </w:r>
      <w:r>
        <w:rPr>
          <w:b/>
        </w:rPr>
        <w:t>31 March 2021</w:t>
      </w:r>
      <w:r>
        <w:t xml:space="preserve">, and then to </w:t>
      </w:r>
      <w:r>
        <w:rPr>
          <w:b/>
        </w:rPr>
        <w:t>30 September 2021</w:t>
      </w:r>
      <w:r>
        <w:t xml:space="preserve">.  It cannot be extended longer than that. </w:t>
      </w:r>
    </w:p>
    <w:p w14:paraId="4FCD9194" w14:textId="77777777" w:rsidR="00727921" w:rsidRDefault="00727921" w:rsidP="00727921"/>
    <w:p w14:paraId="3C299D47" w14:textId="1C56B8BA" w:rsidR="004F5BB4" w:rsidRDefault="004F5BB4" w:rsidP="00727921">
      <w:r>
        <w:t>The Act provides for dealing with the situation where any of its provisions becomes unneeded earlier than the dates set out above.  Under section 11, provisions can be suspended and revived by the Scottish Ministers, if they are temporarily no longer required but there is reason to believe they may become required again.</w:t>
      </w:r>
    </w:p>
    <w:p w14:paraId="45F988DE" w14:textId="77777777" w:rsidR="00727921" w:rsidRDefault="00727921" w:rsidP="00727921"/>
    <w:p w14:paraId="2383824A" w14:textId="77777777" w:rsidR="004F5BB4" w:rsidRDefault="004F5BB4" w:rsidP="00727921">
      <w:r>
        <w:t>Alternatively, if satisfied that any provisions are unnecessary and will no longer be required, the Scottish Ministers can cause them to expire early under section 13.</w:t>
      </w:r>
    </w:p>
    <w:p w14:paraId="072A0E07" w14:textId="77777777" w:rsidR="004F5BB4" w:rsidRPr="00832D89" w:rsidRDefault="004F5BB4" w:rsidP="00727921"/>
    <w:p w14:paraId="2B72535A" w14:textId="77777777" w:rsidR="004F5BB4" w:rsidRDefault="004F5BB4" w:rsidP="004F5BB4">
      <w:pPr>
        <w:rPr>
          <w:b/>
        </w:rPr>
      </w:pPr>
    </w:p>
    <w:p w14:paraId="59FB963F" w14:textId="77777777" w:rsidR="004F5BB4" w:rsidRDefault="004F5BB4" w:rsidP="004F5BB4">
      <w:pPr>
        <w:rPr>
          <w:b/>
          <w:i/>
        </w:rPr>
      </w:pPr>
      <w:r>
        <w:rPr>
          <w:b/>
          <w:i/>
        </w:rPr>
        <w:t>Preventing Evictions</w:t>
      </w:r>
    </w:p>
    <w:p w14:paraId="23BFE161" w14:textId="77777777" w:rsidR="004F5BB4" w:rsidRPr="00B170BB" w:rsidRDefault="004F5BB4" w:rsidP="004F5BB4">
      <w:pPr>
        <w:rPr>
          <w:b/>
          <w:i/>
        </w:rPr>
      </w:pPr>
    </w:p>
    <w:p w14:paraId="13360EB2" w14:textId="77777777" w:rsidR="004F5BB4" w:rsidRDefault="004F5BB4" w:rsidP="004F5BB4">
      <w:pPr>
        <w:rPr>
          <w:rFonts w:cs="Arial"/>
          <w:szCs w:val="24"/>
        </w:rPr>
      </w:pPr>
      <w:r>
        <w:rPr>
          <w:rFonts w:cs="Arial"/>
          <w:szCs w:val="24"/>
        </w:rPr>
        <w:t>To protect private and social rented tenants being evicted from their home during the Covid-19 pandemic, the provisions within schedule 1 of the Act:</w:t>
      </w:r>
    </w:p>
    <w:p w14:paraId="1BDE8EF2" w14:textId="77777777" w:rsidR="004F5BB4" w:rsidRDefault="004F5BB4" w:rsidP="004F5BB4"/>
    <w:p w14:paraId="441E89F1" w14:textId="62D0C54E" w:rsidR="004F5BB4" w:rsidRPr="009053A2" w:rsidRDefault="004F5BB4" w:rsidP="00A7012D">
      <w:pPr>
        <w:pStyle w:val="ListParagraph"/>
        <w:numPr>
          <w:ilvl w:val="0"/>
          <w:numId w:val="16"/>
        </w:numPr>
        <w:tabs>
          <w:tab w:val="left" w:pos="720"/>
          <w:tab w:val="left" w:pos="1440"/>
          <w:tab w:val="left" w:pos="2160"/>
          <w:tab w:val="left" w:pos="2880"/>
          <w:tab w:val="left" w:pos="4680"/>
          <w:tab w:val="left" w:pos="5400"/>
          <w:tab w:val="right" w:pos="9000"/>
        </w:tabs>
        <w:rPr>
          <w:rFonts w:cs="Arial"/>
          <w:b/>
          <w:bCs/>
          <w:i/>
          <w:iCs/>
          <w:szCs w:val="24"/>
        </w:rPr>
      </w:pPr>
      <w:r w:rsidRPr="00A7012D">
        <w:rPr>
          <w:rFonts w:cs="Arial"/>
          <w:szCs w:val="24"/>
        </w:rPr>
        <w:t>temporarily extends the notice period before the process for ending a tenancy can begin for up to 6 months,</w:t>
      </w:r>
      <w:r w:rsidRPr="00A7012D">
        <w:rPr>
          <w:rFonts w:cs="Arial"/>
        </w:rPr>
        <w:t xml:space="preserve"> </w:t>
      </w:r>
      <w:r w:rsidRPr="00A7012D">
        <w:rPr>
          <w:rFonts w:cs="Arial"/>
          <w:szCs w:val="24"/>
        </w:rPr>
        <w:t>except where a landlord is looking to regain possession of a property where it has been aban</w:t>
      </w:r>
      <w:r w:rsidRPr="004B6693">
        <w:rPr>
          <w:rFonts w:cs="Arial"/>
          <w:szCs w:val="24"/>
        </w:rPr>
        <w:t>doned by a tenant</w:t>
      </w:r>
      <w:r w:rsidR="00A7012D" w:rsidRPr="004B6693">
        <w:rPr>
          <w:rFonts w:cs="Arial"/>
          <w:szCs w:val="24"/>
        </w:rPr>
        <w:t xml:space="preserve">, in relation to short </w:t>
      </w:r>
      <w:r w:rsidR="009053A2">
        <w:rPr>
          <w:rFonts w:cs="Arial"/>
          <w:szCs w:val="24"/>
        </w:rPr>
        <w:t xml:space="preserve">Scottish </w:t>
      </w:r>
      <w:r w:rsidR="00A7012D" w:rsidRPr="009053A2">
        <w:rPr>
          <w:rFonts w:cs="Arial"/>
          <w:szCs w:val="24"/>
        </w:rPr>
        <w:t>secure tenancies involving anti-social behaviour and in the case of assured tenancies and regulated tenancies where there is suitable alternative accommodation for the tenant</w:t>
      </w:r>
      <w:r w:rsidRPr="009053A2">
        <w:rPr>
          <w:rFonts w:cs="Arial"/>
          <w:szCs w:val="24"/>
        </w:rPr>
        <w:t>;</w:t>
      </w:r>
    </w:p>
    <w:p w14:paraId="629ECCF2" w14:textId="77777777" w:rsidR="004F5BB4" w:rsidRDefault="004F5BB4" w:rsidP="004F5BB4">
      <w:pPr>
        <w:ind w:left="360"/>
        <w:rPr>
          <w:rFonts w:cs="Arial"/>
          <w:b/>
          <w:bCs/>
          <w:i/>
          <w:iCs/>
          <w:szCs w:val="24"/>
        </w:rPr>
      </w:pPr>
    </w:p>
    <w:p w14:paraId="01295D6C" w14:textId="77777777" w:rsidR="004F5BB4" w:rsidRDefault="004F5BB4" w:rsidP="004F5BB4">
      <w:pPr>
        <w:pStyle w:val="ListParagraph"/>
        <w:numPr>
          <w:ilvl w:val="0"/>
          <w:numId w:val="16"/>
        </w:numPr>
        <w:tabs>
          <w:tab w:val="left" w:pos="720"/>
          <w:tab w:val="left" w:pos="1440"/>
          <w:tab w:val="left" w:pos="2160"/>
          <w:tab w:val="left" w:pos="2880"/>
          <w:tab w:val="left" w:pos="4680"/>
          <w:tab w:val="left" w:pos="5400"/>
          <w:tab w:val="right" w:pos="9000"/>
        </w:tabs>
        <w:rPr>
          <w:rFonts w:cs="Arial"/>
          <w:b/>
          <w:bCs/>
          <w:i/>
          <w:iCs/>
          <w:szCs w:val="24"/>
        </w:rPr>
      </w:pPr>
      <w:r>
        <w:rPr>
          <w:rFonts w:cs="Arial"/>
          <w:szCs w:val="24"/>
        </w:rPr>
        <w:t>the extended notice periods are either for 6 months (in most cases) or 3 months for certain tenant conduct grounds relating to antisocial/criminal behaviour or, in the private rented sector, where a landlord or a close family member is looking to move back into the property;</w:t>
      </w:r>
    </w:p>
    <w:p w14:paraId="2AF1B53A" w14:textId="77777777" w:rsidR="004F5BB4" w:rsidRDefault="004F5BB4" w:rsidP="004F5BB4">
      <w:pPr>
        <w:ind w:left="360"/>
        <w:rPr>
          <w:rFonts w:cs="Arial"/>
          <w:b/>
          <w:bCs/>
          <w:i/>
          <w:iCs/>
          <w:szCs w:val="24"/>
        </w:rPr>
      </w:pPr>
    </w:p>
    <w:p w14:paraId="15C2465E" w14:textId="77777777" w:rsidR="004F5BB4" w:rsidRDefault="004F5BB4" w:rsidP="004F5BB4">
      <w:pPr>
        <w:pStyle w:val="ListParagraph"/>
        <w:numPr>
          <w:ilvl w:val="0"/>
          <w:numId w:val="16"/>
        </w:numPr>
        <w:tabs>
          <w:tab w:val="left" w:pos="720"/>
          <w:tab w:val="left" w:pos="1440"/>
          <w:tab w:val="left" w:pos="2160"/>
          <w:tab w:val="left" w:pos="2880"/>
          <w:tab w:val="left" w:pos="4680"/>
          <w:tab w:val="left" w:pos="5400"/>
          <w:tab w:val="right" w:pos="9000"/>
        </w:tabs>
        <w:rPr>
          <w:rFonts w:cs="Arial"/>
          <w:b/>
          <w:bCs/>
          <w:i/>
          <w:iCs/>
          <w:szCs w:val="24"/>
        </w:rPr>
      </w:pPr>
      <w:r>
        <w:rPr>
          <w:rFonts w:cs="Arial"/>
          <w:szCs w:val="24"/>
        </w:rPr>
        <w:t xml:space="preserve">in a limited number of Short Scottish Secure Tenancies cases which are coming to an end, and where the landlord wishes to end the tenancy the notice period will remain at 2 months; </w:t>
      </w:r>
    </w:p>
    <w:p w14:paraId="59125063" w14:textId="77777777" w:rsidR="004F5BB4" w:rsidRDefault="004F5BB4" w:rsidP="004F5BB4">
      <w:pPr>
        <w:rPr>
          <w:rFonts w:cs="Arial"/>
          <w:b/>
          <w:bCs/>
          <w:i/>
          <w:iCs/>
          <w:szCs w:val="24"/>
        </w:rPr>
      </w:pPr>
    </w:p>
    <w:p w14:paraId="2EA2CC0E" w14:textId="77777777" w:rsidR="004F5BB4" w:rsidRDefault="004F5BB4" w:rsidP="004F5BB4">
      <w:pPr>
        <w:pStyle w:val="ListParagraph"/>
        <w:numPr>
          <w:ilvl w:val="0"/>
          <w:numId w:val="16"/>
        </w:numPr>
        <w:tabs>
          <w:tab w:val="left" w:pos="720"/>
          <w:tab w:val="left" w:pos="1440"/>
          <w:tab w:val="left" w:pos="2160"/>
          <w:tab w:val="left" w:pos="2880"/>
          <w:tab w:val="left" w:pos="4680"/>
          <w:tab w:val="left" w:pos="5400"/>
          <w:tab w:val="right" w:pos="9000"/>
        </w:tabs>
        <w:spacing w:line="240" w:lineRule="atLeast"/>
        <w:jc w:val="both"/>
        <w:rPr>
          <w:rFonts w:cs="Arial"/>
          <w:b/>
          <w:bCs/>
          <w:i/>
          <w:iCs/>
          <w:szCs w:val="24"/>
        </w:rPr>
      </w:pPr>
      <w:proofErr w:type="gramStart"/>
      <w:r>
        <w:rPr>
          <w:rFonts w:cs="Arial"/>
          <w:szCs w:val="24"/>
        </w:rPr>
        <w:t>temporarily</w:t>
      </w:r>
      <w:proofErr w:type="gramEnd"/>
      <w:r>
        <w:rPr>
          <w:rFonts w:cs="Arial"/>
          <w:szCs w:val="24"/>
        </w:rPr>
        <w:t xml:space="preserve"> changes all private rented sector repossession cases going before the First-tier Tribunal (Housing and Property Chamber) to be considered on a discretionary basis – bringing it in line with how a Sheriff considers social rented sector repossession cases. This will ensure the Tribunal considers the reasonableness of making an eviction order during the outbreak;</w:t>
      </w:r>
    </w:p>
    <w:p w14:paraId="367B0E67" w14:textId="77777777" w:rsidR="004F5BB4" w:rsidRDefault="004F5BB4" w:rsidP="004F5BB4">
      <w:pPr>
        <w:rPr>
          <w:rFonts w:cs="Arial"/>
          <w:szCs w:val="24"/>
        </w:rPr>
      </w:pPr>
    </w:p>
    <w:p w14:paraId="29E44CAD" w14:textId="77777777" w:rsidR="004F5BB4" w:rsidRDefault="004F5BB4" w:rsidP="004F5BB4">
      <w:pPr>
        <w:pStyle w:val="ListParagraph"/>
        <w:numPr>
          <w:ilvl w:val="0"/>
          <w:numId w:val="16"/>
        </w:numPr>
        <w:tabs>
          <w:tab w:val="left" w:pos="720"/>
          <w:tab w:val="left" w:pos="1440"/>
          <w:tab w:val="left" w:pos="2160"/>
          <w:tab w:val="left" w:pos="2880"/>
          <w:tab w:val="left" w:pos="4680"/>
          <w:tab w:val="left" w:pos="5400"/>
          <w:tab w:val="right" w:pos="9000"/>
        </w:tabs>
        <w:rPr>
          <w:rFonts w:cs="Arial"/>
          <w:szCs w:val="24"/>
        </w:rPr>
      </w:pPr>
      <w:r>
        <w:rPr>
          <w:rFonts w:cs="Arial"/>
          <w:szCs w:val="24"/>
        </w:rPr>
        <w:t>makes provision for Scottish Ministers to extend the period these changes apply to</w:t>
      </w:r>
      <w:r>
        <w:rPr>
          <w:rFonts w:cs="Arial"/>
          <w:b/>
          <w:bCs/>
          <w:i/>
          <w:iCs/>
          <w:szCs w:val="24"/>
        </w:rPr>
        <w:t xml:space="preserve"> </w:t>
      </w:r>
      <w:r>
        <w:rPr>
          <w:rFonts w:cs="Arial"/>
          <w:szCs w:val="24"/>
        </w:rPr>
        <w:t>and gives them the necessary flexibility in relation to the application of these provisions to respond to the uncertainty around the duration of the pandemic;  </w:t>
      </w:r>
    </w:p>
    <w:p w14:paraId="365E58B9" w14:textId="77777777" w:rsidR="004F5BB4" w:rsidRDefault="004F5BB4" w:rsidP="004F5BB4">
      <w:pPr>
        <w:rPr>
          <w:rFonts w:cs="Arial"/>
          <w:szCs w:val="24"/>
        </w:rPr>
      </w:pPr>
    </w:p>
    <w:p w14:paraId="5C7E7CCF" w14:textId="77777777" w:rsidR="004F5BB4" w:rsidRDefault="004F5BB4" w:rsidP="004F5BB4">
      <w:pPr>
        <w:pStyle w:val="ListParagraph"/>
        <w:numPr>
          <w:ilvl w:val="0"/>
          <w:numId w:val="16"/>
        </w:numPr>
        <w:tabs>
          <w:tab w:val="left" w:pos="720"/>
          <w:tab w:val="left" w:pos="1440"/>
          <w:tab w:val="left" w:pos="2160"/>
          <w:tab w:val="left" w:pos="2880"/>
          <w:tab w:val="left" w:pos="4680"/>
          <w:tab w:val="left" w:pos="5400"/>
          <w:tab w:val="right" w:pos="9000"/>
        </w:tabs>
        <w:spacing w:line="240" w:lineRule="atLeast"/>
        <w:jc w:val="both"/>
        <w:rPr>
          <w:rFonts w:cs="Arial"/>
          <w:szCs w:val="24"/>
        </w:rPr>
      </w:pPr>
      <w:proofErr w:type="gramStart"/>
      <w:r>
        <w:rPr>
          <w:rFonts w:cs="Arial"/>
          <w:szCs w:val="24"/>
        </w:rPr>
        <w:t>the</w:t>
      </w:r>
      <w:proofErr w:type="gramEnd"/>
      <w:r>
        <w:rPr>
          <w:rFonts w:cs="Arial"/>
          <w:szCs w:val="24"/>
        </w:rPr>
        <w:t xml:space="preserve"> extended notice periods will apply to notices which are issued after the commencement of the Bill.</w:t>
      </w:r>
    </w:p>
    <w:p w14:paraId="7B86F59A" w14:textId="77777777" w:rsidR="004F5BB4" w:rsidRDefault="004F5BB4" w:rsidP="004F5BB4"/>
    <w:p w14:paraId="0388FE13" w14:textId="77777777" w:rsidR="004F5BB4" w:rsidRDefault="004F5BB4" w:rsidP="004F5BB4">
      <w:pPr>
        <w:autoSpaceDE w:val="0"/>
        <w:autoSpaceDN w:val="0"/>
        <w:adjustRightInd w:val="0"/>
        <w:rPr>
          <w:rFonts w:cs="Arial"/>
          <w:szCs w:val="24"/>
          <w:lang w:eastAsia="en-GB"/>
        </w:rPr>
      </w:pPr>
      <w:r>
        <w:rPr>
          <w:rFonts w:cs="Arial"/>
          <w:szCs w:val="24"/>
          <w:lang w:eastAsia="en-GB"/>
        </w:rPr>
        <w:t xml:space="preserve">The Act ensures that tenants in the rented sector have additional protection from eviction in the current uncertainty relating to the coronavirus pandemic.  </w:t>
      </w:r>
      <w:r>
        <w:rPr>
          <w:rFonts w:cs="Arial"/>
          <w:szCs w:val="24"/>
        </w:rPr>
        <w:t xml:space="preserve">The changes support tenants to be secure in their homes and will also ensure that they have time to apply for and receive the available support so they can pay their bills in the short term and, if necessary, to give them time to plan for the longer term over this unprecedented crisis. </w:t>
      </w:r>
      <w:r>
        <w:rPr>
          <w:rFonts w:cs="Arial"/>
          <w:szCs w:val="24"/>
          <w:lang w:eastAsia="en-GB"/>
        </w:rPr>
        <w:t xml:space="preserve"> </w:t>
      </w:r>
    </w:p>
    <w:p w14:paraId="3987CC62" w14:textId="77777777" w:rsidR="004F5BB4" w:rsidRDefault="004F5BB4" w:rsidP="004F5BB4"/>
    <w:p w14:paraId="29B8AF42" w14:textId="77777777" w:rsidR="004F5BB4" w:rsidRPr="00BB5CF5" w:rsidRDefault="004F5BB4" w:rsidP="004F5BB4">
      <w:pPr>
        <w:rPr>
          <w:rFonts w:cs="Arial"/>
          <w:i/>
          <w:szCs w:val="24"/>
        </w:rPr>
      </w:pPr>
      <w:r w:rsidRPr="00BB5CF5">
        <w:rPr>
          <w:rFonts w:cs="Arial"/>
          <w:i/>
          <w:szCs w:val="24"/>
        </w:rPr>
        <w:t>Eviction notice periods</w:t>
      </w:r>
    </w:p>
    <w:p w14:paraId="2D2840C8" w14:textId="77777777" w:rsidR="004F5BB4" w:rsidRDefault="004F5BB4" w:rsidP="004F5BB4">
      <w:pPr>
        <w:rPr>
          <w:rFonts w:cs="Arial"/>
          <w:szCs w:val="24"/>
        </w:rPr>
      </w:pPr>
    </w:p>
    <w:p w14:paraId="7C4A0F45" w14:textId="77777777" w:rsidR="004F5BB4" w:rsidRDefault="004F5BB4" w:rsidP="004F5BB4">
      <w:pPr>
        <w:rPr>
          <w:rFonts w:cs="Arial"/>
          <w:szCs w:val="24"/>
        </w:rPr>
      </w:pPr>
      <w:r>
        <w:rPr>
          <w:rFonts w:cs="Arial"/>
          <w:szCs w:val="24"/>
        </w:rPr>
        <w:t>The changes made to the eviction notice periods will affect the following tenancies:</w:t>
      </w:r>
    </w:p>
    <w:p w14:paraId="4038C95F" w14:textId="77777777" w:rsidR="004F5BB4" w:rsidRDefault="004F5BB4" w:rsidP="004F5BB4">
      <w:pPr>
        <w:rPr>
          <w:rFonts w:cs="Arial"/>
          <w:szCs w:val="24"/>
        </w:rPr>
      </w:pPr>
    </w:p>
    <w:p w14:paraId="5D920C5D" w14:textId="77777777" w:rsidR="004F5BB4" w:rsidRDefault="004F5BB4" w:rsidP="004F5BB4">
      <w:pPr>
        <w:pStyle w:val="ListParagraph"/>
        <w:numPr>
          <w:ilvl w:val="0"/>
          <w:numId w:val="17"/>
        </w:numPr>
        <w:tabs>
          <w:tab w:val="left" w:pos="720"/>
          <w:tab w:val="left" w:pos="1440"/>
          <w:tab w:val="left" w:pos="2160"/>
          <w:tab w:val="left" w:pos="2880"/>
          <w:tab w:val="left" w:pos="4680"/>
          <w:tab w:val="left" w:pos="5400"/>
          <w:tab w:val="right" w:pos="9000"/>
        </w:tabs>
        <w:rPr>
          <w:rFonts w:cs="Arial"/>
          <w:szCs w:val="24"/>
        </w:rPr>
      </w:pPr>
      <w:r>
        <w:rPr>
          <w:rFonts w:cs="Arial"/>
          <w:szCs w:val="24"/>
        </w:rPr>
        <w:t>the Private Residential Tenancy;</w:t>
      </w:r>
    </w:p>
    <w:p w14:paraId="46F1373B" w14:textId="77777777" w:rsidR="004F5BB4" w:rsidRDefault="004F5BB4" w:rsidP="004F5BB4">
      <w:pPr>
        <w:pStyle w:val="ListParagraph"/>
        <w:numPr>
          <w:ilvl w:val="0"/>
          <w:numId w:val="17"/>
        </w:numPr>
        <w:tabs>
          <w:tab w:val="left" w:pos="720"/>
          <w:tab w:val="left" w:pos="1440"/>
          <w:tab w:val="left" w:pos="2160"/>
          <w:tab w:val="left" w:pos="2880"/>
          <w:tab w:val="left" w:pos="4680"/>
          <w:tab w:val="left" w:pos="5400"/>
          <w:tab w:val="right" w:pos="9000"/>
        </w:tabs>
        <w:rPr>
          <w:rFonts w:cs="Arial"/>
          <w:szCs w:val="24"/>
        </w:rPr>
      </w:pPr>
      <w:r>
        <w:rPr>
          <w:rFonts w:cs="Arial"/>
          <w:szCs w:val="24"/>
        </w:rPr>
        <w:t>the Scottish Secure Tenancy and Short Scottish Secure Tenancy;</w:t>
      </w:r>
    </w:p>
    <w:p w14:paraId="2EE0BE68" w14:textId="77777777" w:rsidR="004F5BB4" w:rsidRDefault="004F5BB4" w:rsidP="004F5BB4">
      <w:pPr>
        <w:pStyle w:val="ListParagraph"/>
        <w:numPr>
          <w:ilvl w:val="0"/>
          <w:numId w:val="17"/>
        </w:numPr>
        <w:tabs>
          <w:tab w:val="left" w:pos="720"/>
          <w:tab w:val="left" w:pos="1440"/>
          <w:tab w:val="left" w:pos="2160"/>
          <w:tab w:val="left" w:pos="2880"/>
          <w:tab w:val="left" w:pos="4680"/>
          <w:tab w:val="left" w:pos="5400"/>
          <w:tab w:val="right" w:pos="9000"/>
        </w:tabs>
        <w:rPr>
          <w:rFonts w:cs="Arial"/>
          <w:szCs w:val="24"/>
        </w:rPr>
      </w:pPr>
      <w:r>
        <w:rPr>
          <w:rFonts w:cs="Arial"/>
          <w:szCs w:val="24"/>
        </w:rPr>
        <w:t>the Assured and Short Assured Tenancies; and</w:t>
      </w:r>
    </w:p>
    <w:p w14:paraId="7EF56BCD" w14:textId="77777777" w:rsidR="004F5BB4" w:rsidRDefault="004F5BB4" w:rsidP="004F5BB4">
      <w:pPr>
        <w:pStyle w:val="ListParagraph"/>
        <w:numPr>
          <w:ilvl w:val="0"/>
          <w:numId w:val="17"/>
        </w:numPr>
        <w:tabs>
          <w:tab w:val="left" w:pos="720"/>
          <w:tab w:val="left" w:pos="1440"/>
          <w:tab w:val="left" w:pos="2160"/>
          <w:tab w:val="left" w:pos="2880"/>
          <w:tab w:val="left" w:pos="4680"/>
          <w:tab w:val="left" w:pos="5400"/>
          <w:tab w:val="right" w:pos="9000"/>
        </w:tabs>
        <w:rPr>
          <w:rFonts w:cs="Arial"/>
          <w:szCs w:val="24"/>
        </w:rPr>
      </w:pPr>
      <w:proofErr w:type="gramStart"/>
      <w:r>
        <w:rPr>
          <w:rFonts w:cs="Arial"/>
          <w:szCs w:val="24"/>
        </w:rPr>
        <w:t>regulated</w:t>
      </w:r>
      <w:proofErr w:type="gramEnd"/>
      <w:r>
        <w:rPr>
          <w:rFonts w:cs="Arial"/>
          <w:szCs w:val="24"/>
        </w:rPr>
        <w:t xml:space="preserve"> tenancies.</w:t>
      </w:r>
    </w:p>
    <w:p w14:paraId="28359761" w14:textId="77777777" w:rsidR="004F5BB4" w:rsidRDefault="004F5BB4" w:rsidP="004F5BB4">
      <w:pPr>
        <w:rPr>
          <w:rFonts w:cs="Arial"/>
          <w:szCs w:val="24"/>
        </w:rPr>
      </w:pPr>
    </w:p>
    <w:p w14:paraId="2AFD1A1D" w14:textId="77777777" w:rsidR="004F5BB4" w:rsidRDefault="004F5BB4" w:rsidP="004F5BB4">
      <w:pPr>
        <w:rPr>
          <w:rFonts w:cs="Arial"/>
          <w:szCs w:val="24"/>
        </w:rPr>
      </w:pPr>
      <w:r>
        <w:rPr>
          <w:rFonts w:cs="Arial"/>
          <w:szCs w:val="24"/>
        </w:rPr>
        <w:t>In recognition of how fast moving the impacts of this pandemic are</w:t>
      </w:r>
      <w:proofErr w:type="gramStart"/>
      <w:r>
        <w:rPr>
          <w:rFonts w:cs="Arial"/>
          <w:szCs w:val="24"/>
        </w:rPr>
        <w:t>,</w:t>
      </w:r>
      <w:proofErr w:type="gramEnd"/>
      <w:r>
        <w:rPr>
          <w:rFonts w:cs="Arial"/>
          <w:szCs w:val="24"/>
        </w:rPr>
        <w:t xml:space="preserve"> there are provisions within the Act providing Scottish Ministers with the flexibility to modify the notice period for all eviction grounds which are set at 3 months, to a maximum of 6 months.  For example, if a high </w:t>
      </w:r>
      <w:proofErr w:type="gramStart"/>
      <w:r>
        <w:rPr>
          <w:rFonts w:cs="Arial"/>
          <w:szCs w:val="24"/>
        </w:rPr>
        <w:t>number of landlords are</w:t>
      </w:r>
      <w:proofErr w:type="gramEnd"/>
      <w:r>
        <w:rPr>
          <w:rFonts w:cs="Arial"/>
          <w:szCs w:val="24"/>
        </w:rPr>
        <w:t xml:space="preserve"> issuing notices using the ground that they intend to move back into the property and there was evidence the ground was being misused, Scottish Ministers are able to take action to increase the notice period for that ground to a maximum of 6 months.  </w:t>
      </w:r>
    </w:p>
    <w:p w14:paraId="4ADF9503" w14:textId="77777777" w:rsidR="004F5BB4" w:rsidRDefault="004F5BB4" w:rsidP="004F5BB4"/>
    <w:p w14:paraId="7E64830E" w14:textId="77777777" w:rsidR="004F5BB4" w:rsidRPr="00BB5CF5" w:rsidRDefault="004F5BB4" w:rsidP="004F5BB4">
      <w:pPr>
        <w:rPr>
          <w:i/>
        </w:rPr>
      </w:pPr>
      <w:r w:rsidRPr="00BB5CF5">
        <w:rPr>
          <w:i/>
        </w:rPr>
        <w:t>Eviction grounds being made discretionary</w:t>
      </w:r>
    </w:p>
    <w:p w14:paraId="7104B0A9" w14:textId="77777777" w:rsidR="004F5BB4" w:rsidRDefault="004F5BB4" w:rsidP="004F5BB4"/>
    <w:p w14:paraId="5BFA37E8" w14:textId="77777777" w:rsidR="004F5BB4" w:rsidRDefault="004F5BB4" w:rsidP="004F5BB4">
      <w:pPr>
        <w:rPr>
          <w:rFonts w:cs="Arial"/>
          <w:szCs w:val="24"/>
        </w:rPr>
      </w:pPr>
      <w:r>
        <w:rPr>
          <w:rFonts w:cs="Arial"/>
          <w:szCs w:val="24"/>
        </w:rPr>
        <w:lastRenderedPageBreak/>
        <w:t xml:space="preserve">If a private landlord serves a notice to leave and the tenant chooses not to leave the property, the landlord must go to the First-tier Tribunal (Housing and Property Chamber) for an eviction order.  Under normal tenancy legislation, many of the eviction grounds were mandatory, meaning a Tribunal had to grant an eviction order if all the requirements were met.  </w:t>
      </w:r>
    </w:p>
    <w:p w14:paraId="293FAA81" w14:textId="77777777" w:rsidR="004F5BB4" w:rsidRDefault="004F5BB4" w:rsidP="004F5BB4">
      <w:pPr>
        <w:rPr>
          <w:rFonts w:cs="Arial"/>
          <w:szCs w:val="24"/>
        </w:rPr>
      </w:pPr>
    </w:p>
    <w:p w14:paraId="0A7CEDEF" w14:textId="77777777" w:rsidR="004F5BB4" w:rsidRDefault="004F5BB4" w:rsidP="004F5BB4">
      <w:pPr>
        <w:rPr>
          <w:rFonts w:cs="Arial"/>
          <w:szCs w:val="24"/>
        </w:rPr>
      </w:pPr>
      <w:r>
        <w:rPr>
          <w:rFonts w:cs="Arial"/>
          <w:szCs w:val="24"/>
        </w:rPr>
        <w:t>This legislation amends all the eviction grounds a private landlord can use to regain possession through to make them all discretionary.  This change ensures that the Tribunal – once operational again – will be able to use discretion and take all factors relating to the impact of Covid-19 has had on both the landlord and tenant, into account before deciding whether to issue an eviction order or not.</w:t>
      </w:r>
    </w:p>
    <w:p w14:paraId="75C09FD8" w14:textId="77777777" w:rsidR="004F5BB4" w:rsidRDefault="004F5BB4" w:rsidP="004F5BB4"/>
    <w:p w14:paraId="79C1203F" w14:textId="77777777" w:rsidR="004F5BB4" w:rsidRPr="00BB5CF5" w:rsidRDefault="004F5BB4" w:rsidP="004F5BB4">
      <w:pPr>
        <w:rPr>
          <w:i/>
        </w:rPr>
      </w:pPr>
      <w:r w:rsidRPr="00BB5CF5">
        <w:rPr>
          <w:i/>
        </w:rPr>
        <w:t>Power to extend the period the temporary changes are in force</w:t>
      </w:r>
    </w:p>
    <w:p w14:paraId="00FEF79E" w14:textId="77777777" w:rsidR="004F5BB4" w:rsidRDefault="004F5BB4" w:rsidP="004F5BB4"/>
    <w:p w14:paraId="5AF517F3" w14:textId="77777777" w:rsidR="00A7012D" w:rsidRDefault="00A7012D" w:rsidP="00A7012D">
      <w:pPr>
        <w:rPr>
          <w:rFonts w:cs="Arial"/>
          <w:szCs w:val="24"/>
        </w:rPr>
      </w:pPr>
      <w:r>
        <w:rPr>
          <w:rFonts w:cs="Arial"/>
          <w:szCs w:val="24"/>
        </w:rPr>
        <w:t xml:space="preserve">The changes will be in force until 30 September 2020. Alongside being able to amend the notice periods that apply up to a maximum of 6 months, Scottish Ministers also have the power to extend the changes for two further 6 month periods. </w:t>
      </w:r>
    </w:p>
    <w:p w14:paraId="07A49B39" w14:textId="77777777" w:rsidR="00A7012D" w:rsidRDefault="00A7012D" w:rsidP="00A7012D">
      <w:pPr>
        <w:rPr>
          <w:rFonts w:cs="Arial"/>
          <w:color w:val="44546A"/>
          <w:szCs w:val="24"/>
        </w:rPr>
      </w:pPr>
      <w:r>
        <w:rPr>
          <w:rFonts w:cs="Arial"/>
          <w:szCs w:val="24"/>
        </w:rPr>
        <w:t xml:space="preserve">This gives Scottish Ministers the necessary flexibility to adapt to the uncertainty caused by the pandemic </w:t>
      </w:r>
    </w:p>
    <w:p w14:paraId="2B5E2FFB" w14:textId="77777777" w:rsidR="004F5BB4" w:rsidRDefault="004F5BB4" w:rsidP="004F5BB4"/>
    <w:p w14:paraId="57637976" w14:textId="77777777" w:rsidR="004F5BB4" w:rsidRPr="00BB5CF5" w:rsidRDefault="004F5BB4" w:rsidP="004F5BB4">
      <w:pPr>
        <w:rPr>
          <w:rFonts w:cs="Arial"/>
          <w:i/>
          <w:szCs w:val="24"/>
          <w:lang w:eastAsia="en-GB"/>
        </w:rPr>
      </w:pPr>
      <w:r w:rsidRPr="00BB5CF5">
        <w:rPr>
          <w:rFonts w:cs="Arial"/>
          <w:i/>
          <w:szCs w:val="24"/>
          <w:lang w:eastAsia="en-GB"/>
        </w:rPr>
        <w:t>Error in notices</w:t>
      </w:r>
    </w:p>
    <w:p w14:paraId="1E37966F" w14:textId="77777777" w:rsidR="004F5BB4" w:rsidRDefault="004F5BB4" w:rsidP="004F5BB4">
      <w:pPr>
        <w:rPr>
          <w:rFonts w:cs="Arial"/>
          <w:szCs w:val="24"/>
          <w:lang w:eastAsia="en-GB"/>
        </w:rPr>
      </w:pPr>
    </w:p>
    <w:p w14:paraId="5592EFBF" w14:textId="77777777" w:rsidR="004F5BB4" w:rsidRDefault="004F5BB4" w:rsidP="004F5BB4">
      <w:r>
        <w:t>Where a landlord has completed a notice incorrectly by including the wrong notice period, the notice will be valid but only in accordance with the correct notice period. This will ensure that if a landlord accidentally includes the notice periods that would have applied before this legislative change, they do not have to start the process again.  The process can continue but only in line with the relevant extended notice period.</w:t>
      </w:r>
    </w:p>
    <w:p w14:paraId="010460E9" w14:textId="77777777" w:rsidR="004F5BB4" w:rsidRDefault="004F5BB4" w:rsidP="004F5BB4"/>
    <w:p w14:paraId="20067B0D" w14:textId="76F1B8B9" w:rsidR="004F5BB4" w:rsidRDefault="004F5BB4" w:rsidP="004F5BB4">
      <w:r w:rsidRPr="00BB5CF5">
        <w:rPr>
          <w:b/>
        </w:rPr>
        <w:t>Contact:</w:t>
      </w:r>
      <w:r>
        <w:t xml:space="preserve"> </w:t>
      </w:r>
      <w:r w:rsidR="00A7012D">
        <w:t xml:space="preserve">Social Rented Sector - </w:t>
      </w:r>
      <w:r>
        <w:t xml:space="preserve">Michael Boal, </w:t>
      </w:r>
      <w:r w:rsidRPr="00BB5CF5">
        <w:t xml:space="preserve">Social Housing Charter &amp; </w:t>
      </w:r>
      <w:r>
        <w:t xml:space="preserve">Regulation Manager, </w:t>
      </w:r>
      <w:r w:rsidRPr="00BB5CF5">
        <w:t>Scottish Government</w:t>
      </w:r>
      <w:r>
        <w:t xml:space="preserve">, Email: </w:t>
      </w:r>
      <w:hyperlink r:id="rId7" w:history="1">
        <w:r w:rsidRPr="003C23B7">
          <w:rPr>
            <w:rStyle w:val="Hyperlink"/>
          </w:rPr>
          <w:t>Michael.Boal@gov.scot</w:t>
        </w:r>
      </w:hyperlink>
      <w:r>
        <w:t xml:space="preserve"> </w:t>
      </w:r>
    </w:p>
    <w:p w14:paraId="32488546" w14:textId="73392D7C" w:rsidR="00A7012D" w:rsidRDefault="00A7012D" w:rsidP="004F5BB4">
      <w:r>
        <w:t xml:space="preserve">Pauline Brice, Housing Policy Manager, Scottish Government, Email: </w:t>
      </w:r>
      <w:hyperlink r:id="rId8" w:history="1">
        <w:r w:rsidRPr="00401508">
          <w:rPr>
            <w:rStyle w:val="Hyperlink"/>
          </w:rPr>
          <w:t>Pauline.Brice@gov.scot</w:t>
        </w:r>
      </w:hyperlink>
    </w:p>
    <w:p w14:paraId="44E8C10C" w14:textId="76E7A6DF" w:rsidR="004B6693" w:rsidRDefault="00A7012D" w:rsidP="004F5BB4">
      <w:r>
        <w:t xml:space="preserve">Private Rented Sector – Yvonne Gavan, Senior Policy Officer, Scottish Government, Email: </w:t>
      </w:r>
      <w:hyperlink r:id="rId9" w:history="1">
        <w:r w:rsidR="004B6693" w:rsidRPr="00420AA9">
          <w:rPr>
            <w:rStyle w:val="Hyperlink"/>
          </w:rPr>
          <w:t>Yvonne.Gavan@gov.scot</w:t>
        </w:r>
      </w:hyperlink>
    </w:p>
    <w:p w14:paraId="3CCF375B" w14:textId="7BE6160C" w:rsidR="0022172A" w:rsidRPr="004F5BB4" w:rsidRDefault="00A7012D" w:rsidP="004F5BB4">
      <w:r>
        <w:t xml:space="preserve"> </w:t>
      </w:r>
    </w:p>
    <w:sectPr w:rsidR="0022172A" w:rsidRPr="004F5BB4"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01CD3C65"/>
    <w:multiLevelType w:val="hybridMultilevel"/>
    <w:tmpl w:val="730AA6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06BA2AEE"/>
    <w:multiLevelType w:val="multilevel"/>
    <w:tmpl w:val="E4C4E0AC"/>
    <w:lvl w:ilvl="0">
      <w:start w:val="1"/>
      <w:numFmt w:val="decimal"/>
      <w:pStyle w:val="BillADPara"/>
      <w:lvlText w:val="%1."/>
      <w:lvlJc w:val="left"/>
      <w:pPr>
        <w:tabs>
          <w:tab w:val="num" w:pos="1135"/>
        </w:tabs>
        <w:ind w:left="426"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79C0949"/>
    <w:multiLevelType w:val="hybridMultilevel"/>
    <w:tmpl w:val="CDFA6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0F4F7EDD"/>
    <w:multiLevelType w:val="hybridMultilevel"/>
    <w:tmpl w:val="8D906C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9B72A4F"/>
    <w:multiLevelType w:val="hybridMultilevel"/>
    <w:tmpl w:val="90A45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9A71621"/>
    <w:multiLevelType w:val="hybridMultilevel"/>
    <w:tmpl w:val="6F7A2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DF3764D"/>
    <w:multiLevelType w:val="hybridMultilevel"/>
    <w:tmpl w:val="41386AFC"/>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35826927"/>
    <w:multiLevelType w:val="hybridMultilevel"/>
    <w:tmpl w:val="84A892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C247BD0"/>
    <w:multiLevelType w:val="hybridMultilevel"/>
    <w:tmpl w:val="68F04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4C423A6"/>
    <w:multiLevelType w:val="hybridMultilevel"/>
    <w:tmpl w:val="82A0D2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5CEC2140"/>
    <w:multiLevelType w:val="hybridMultilevel"/>
    <w:tmpl w:val="110AEA24"/>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5DEA1324"/>
    <w:multiLevelType w:val="hybridMultilevel"/>
    <w:tmpl w:val="1E807DD4"/>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3">
    <w:nsid w:val="6480570C"/>
    <w:multiLevelType w:val="hybridMultilevel"/>
    <w:tmpl w:val="72E67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15">
    <w:nsid w:val="68763C3F"/>
    <w:multiLevelType w:val="hybridMultilevel"/>
    <w:tmpl w:val="FA0C38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nsid w:val="6A191A91"/>
    <w:multiLevelType w:val="hybridMultilevel"/>
    <w:tmpl w:val="A4BE8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EB025AF"/>
    <w:multiLevelType w:val="hybridMultilevel"/>
    <w:tmpl w:val="AD040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3F12F80"/>
    <w:multiLevelType w:val="hybridMultilevel"/>
    <w:tmpl w:val="8B6AE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BA942B5"/>
    <w:multiLevelType w:val="hybridMultilevel"/>
    <w:tmpl w:val="44C49426"/>
    <w:lvl w:ilvl="0" w:tplc="7684249A">
      <w:start w:val="1"/>
      <w:numFmt w:val="bullet"/>
      <w:lvlText w:val=""/>
      <w:lvlJc w:val="left"/>
      <w:pPr>
        <w:tabs>
          <w:tab w:val="num" w:pos="720"/>
        </w:tabs>
        <w:ind w:left="720" w:hanging="360"/>
      </w:pPr>
      <w:rPr>
        <w:rFonts w:ascii="Symbol" w:hAnsi="Symbol" w:hint="default"/>
      </w:rPr>
    </w:lvl>
    <w:lvl w:ilvl="1" w:tplc="6A969B2C">
      <w:start w:val="1"/>
      <w:numFmt w:val="bullet"/>
      <w:lvlText w:val=""/>
      <w:lvlJc w:val="left"/>
      <w:pPr>
        <w:tabs>
          <w:tab w:val="num" w:pos="1440"/>
        </w:tabs>
        <w:ind w:left="1440" w:hanging="360"/>
      </w:pPr>
      <w:rPr>
        <w:rFonts w:ascii="Symbol" w:hAnsi="Symbol" w:hint="default"/>
      </w:rPr>
    </w:lvl>
    <w:lvl w:ilvl="2" w:tplc="5986C2AE">
      <w:start w:val="1"/>
      <w:numFmt w:val="bullet"/>
      <w:lvlText w:val=""/>
      <w:lvlJc w:val="left"/>
      <w:pPr>
        <w:tabs>
          <w:tab w:val="num" w:pos="2160"/>
        </w:tabs>
        <w:ind w:left="2160" w:hanging="360"/>
      </w:pPr>
      <w:rPr>
        <w:rFonts w:ascii="Symbol" w:hAnsi="Symbol" w:hint="default"/>
      </w:rPr>
    </w:lvl>
    <w:lvl w:ilvl="3" w:tplc="122CA068">
      <w:start w:val="1"/>
      <w:numFmt w:val="bullet"/>
      <w:lvlText w:val=""/>
      <w:lvlJc w:val="left"/>
      <w:pPr>
        <w:tabs>
          <w:tab w:val="num" w:pos="2880"/>
        </w:tabs>
        <w:ind w:left="2880" w:hanging="360"/>
      </w:pPr>
      <w:rPr>
        <w:rFonts w:ascii="Symbol" w:hAnsi="Symbol" w:hint="default"/>
      </w:rPr>
    </w:lvl>
    <w:lvl w:ilvl="4" w:tplc="3B9A11B8">
      <w:start w:val="1"/>
      <w:numFmt w:val="bullet"/>
      <w:lvlText w:val=""/>
      <w:lvlJc w:val="left"/>
      <w:pPr>
        <w:tabs>
          <w:tab w:val="num" w:pos="3600"/>
        </w:tabs>
        <w:ind w:left="3600" w:hanging="360"/>
      </w:pPr>
      <w:rPr>
        <w:rFonts w:ascii="Symbol" w:hAnsi="Symbol" w:hint="default"/>
      </w:rPr>
    </w:lvl>
    <w:lvl w:ilvl="5" w:tplc="210E5D28">
      <w:start w:val="1"/>
      <w:numFmt w:val="bullet"/>
      <w:lvlText w:val=""/>
      <w:lvlJc w:val="left"/>
      <w:pPr>
        <w:tabs>
          <w:tab w:val="num" w:pos="4320"/>
        </w:tabs>
        <w:ind w:left="4320" w:hanging="360"/>
      </w:pPr>
      <w:rPr>
        <w:rFonts w:ascii="Symbol" w:hAnsi="Symbol" w:hint="default"/>
      </w:rPr>
    </w:lvl>
    <w:lvl w:ilvl="6" w:tplc="45AAE7A4">
      <w:start w:val="1"/>
      <w:numFmt w:val="bullet"/>
      <w:lvlText w:val=""/>
      <w:lvlJc w:val="left"/>
      <w:pPr>
        <w:tabs>
          <w:tab w:val="num" w:pos="5040"/>
        </w:tabs>
        <w:ind w:left="5040" w:hanging="360"/>
      </w:pPr>
      <w:rPr>
        <w:rFonts w:ascii="Symbol" w:hAnsi="Symbol" w:hint="default"/>
      </w:rPr>
    </w:lvl>
    <w:lvl w:ilvl="7" w:tplc="2CA28832">
      <w:start w:val="1"/>
      <w:numFmt w:val="bullet"/>
      <w:lvlText w:val=""/>
      <w:lvlJc w:val="left"/>
      <w:pPr>
        <w:tabs>
          <w:tab w:val="num" w:pos="5760"/>
        </w:tabs>
        <w:ind w:left="5760" w:hanging="360"/>
      </w:pPr>
      <w:rPr>
        <w:rFonts w:ascii="Symbol" w:hAnsi="Symbol" w:hint="default"/>
      </w:rPr>
    </w:lvl>
    <w:lvl w:ilvl="8" w:tplc="4962B220">
      <w:start w:val="1"/>
      <w:numFmt w:val="bullet"/>
      <w:lvlText w:val=""/>
      <w:lvlJc w:val="left"/>
      <w:pPr>
        <w:tabs>
          <w:tab w:val="num" w:pos="6480"/>
        </w:tabs>
        <w:ind w:left="6480" w:hanging="360"/>
      </w:pPr>
      <w:rPr>
        <w:rFonts w:ascii="Symbol" w:hAnsi="Symbol" w:hint="default"/>
      </w:rPr>
    </w:lvl>
  </w:abstractNum>
  <w:abstractNum w:abstractNumId="20">
    <w:nsid w:val="7D172D7B"/>
    <w:multiLevelType w:val="hybridMultilevel"/>
    <w:tmpl w:val="18A6033C"/>
    <w:lvl w:ilvl="0" w:tplc="08090001">
      <w:start w:val="1"/>
      <w:numFmt w:val="bullet"/>
      <w:lvlText w:val=""/>
      <w:lvlJc w:val="left"/>
      <w:pPr>
        <w:ind w:left="720" w:hanging="360"/>
      </w:pPr>
      <w:rPr>
        <w:rFonts w:ascii="Symbol" w:hAnsi="Symbol" w:hint="default"/>
        <w:b w:val="0"/>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4"/>
  </w:num>
  <w:num w:numId="2">
    <w:abstractNumId w:val="0"/>
  </w:num>
  <w:num w:numId="3">
    <w:abstractNumId w:val="0"/>
  </w:num>
  <w:num w:numId="4">
    <w:abstractNumId w:val="0"/>
  </w:num>
  <w:num w:numId="5">
    <w:abstractNumId w:val="14"/>
  </w:num>
  <w:num w:numId="6">
    <w:abstractNumId w:val="0"/>
  </w:num>
  <w:num w:numId="7">
    <w:abstractNumId w:val="19"/>
  </w:num>
  <w:num w:numId="8">
    <w:abstractNumId w:val="4"/>
  </w:num>
  <w:num w:numId="9">
    <w:abstractNumId w:val="18"/>
  </w:num>
  <w:num w:numId="10">
    <w:abstractNumId w:val="6"/>
  </w:num>
  <w:num w:numId="11">
    <w:abstractNumId w:val="11"/>
  </w:num>
  <w:num w:numId="12">
    <w:abstractNumId w:val="10"/>
  </w:num>
  <w:num w:numId="13">
    <w:abstractNumId w:val="7"/>
  </w:num>
  <w:num w:numId="14">
    <w:abstractNumId w:val="8"/>
  </w:num>
  <w:num w:numId="15">
    <w:abstractNumId w:val="20"/>
  </w:num>
  <w:num w:numId="1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5"/>
  </w:num>
  <w:num w:numId="19">
    <w:abstractNumId w:val="12"/>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3"/>
  </w:num>
  <w:num w:numId="24">
    <w:abstractNumId w:val="5"/>
  </w:num>
  <w:num w:numId="25">
    <w:abstractNumId w:val="1"/>
  </w:num>
  <w:num w:numId="26">
    <w:abstractNumId w:val="16"/>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6EB"/>
    <w:rsid w:val="00027C27"/>
    <w:rsid w:val="0003731A"/>
    <w:rsid w:val="00087B82"/>
    <w:rsid w:val="00094EE4"/>
    <w:rsid w:val="00096F49"/>
    <w:rsid w:val="000A3559"/>
    <w:rsid w:val="000C0CF4"/>
    <w:rsid w:val="00150710"/>
    <w:rsid w:val="0022172A"/>
    <w:rsid w:val="00281579"/>
    <w:rsid w:val="002D5A28"/>
    <w:rsid w:val="002F172A"/>
    <w:rsid w:val="00306C61"/>
    <w:rsid w:val="00353646"/>
    <w:rsid w:val="0037374E"/>
    <w:rsid w:val="0037582B"/>
    <w:rsid w:val="003F3BAF"/>
    <w:rsid w:val="00462185"/>
    <w:rsid w:val="004B6693"/>
    <w:rsid w:val="004C2402"/>
    <w:rsid w:val="004F5BB4"/>
    <w:rsid w:val="0056030A"/>
    <w:rsid w:val="00587679"/>
    <w:rsid w:val="005F79E6"/>
    <w:rsid w:val="006008FC"/>
    <w:rsid w:val="00675471"/>
    <w:rsid w:val="006971B8"/>
    <w:rsid w:val="006A5357"/>
    <w:rsid w:val="006D0EFC"/>
    <w:rsid w:val="006D7B68"/>
    <w:rsid w:val="00727921"/>
    <w:rsid w:val="007A7213"/>
    <w:rsid w:val="00832D89"/>
    <w:rsid w:val="00857548"/>
    <w:rsid w:val="008E5664"/>
    <w:rsid w:val="008F042A"/>
    <w:rsid w:val="009053A2"/>
    <w:rsid w:val="00910EE9"/>
    <w:rsid w:val="00972FAE"/>
    <w:rsid w:val="009A46EB"/>
    <w:rsid w:val="009A4835"/>
    <w:rsid w:val="009B7615"/>
    <w:rsid w:val="00A3658C"/>
    <w:rsid w:val="00A4238F"/>
    <w:rsid w:val="00A46099"/>
    <w:rsid w:val="00A7012D"/>
    <w:rsid w:val="00B170BB"/>
    <w:rsid w:val="00B27379"/>
    <w:rsid w:val="00B51BDC"/>
    <w:rsid w:val="00B561C0"/>
    <w:rsid w:val="00B61DBE"/>
    <w:rsid w:val="00B74ED8"/>
    <w:rsid w:val="00B773CE"/>
    <w:rsid w:val="00B86F46"/>
    <w:rsid w:val="00BB5CF5"/>
    <w:rsid w:val="00BB64F0"/>
    <w:rsid w:val="00C10F58"/>
    <w:rsid w:val="00C91823"/>
    <w:rsid w:val="00D008AB"/>
    <w:rsid w:val="00D20FBE"/>
    <w:rsid w:val="00D228CA"/>
    <w:rsid w:val="00D66AA4"/>
    <w:rsid w:val="00D85CF5"/>
    <w:rsid w:val="00D87F0A"/>
    <w:rsid w:val="00D90B74"/>
    <w:rsid w:val="00E22319"/>
    <w:rsid w:val="00E45917"/>
    <w:rsid w:val="00E953FC"/>
    <w:rsid w:val="00EF4C87"/>
    <w:rsid w:val="00F302CB"/>
    <w:rsid w:val="00F46DFE"/>
    <w:rsid w:val="00F67474"/>
    <w:rsid w:val="00FA4BC1"/>
    <w:rsid w:val="00FD6099"/>
    <w:rsid w:val="00FF7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01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BB4"/>
    <w:rPr>
      <w:rFonts w:ascii="Arial" w:hAnsi="Arial" w:cs="Times New Roman"/>
      <w:sz w:val="24"/>
      <w:szCs w:val="20"/>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ListParagraph">
    <w:name w:val="List Paragraph"/>
    <w:aliases w:val="Dot pt,No Spacing1,List Paragraph Char Char Char,Indicator Text,Numbered Para 1,List Paragraph1,Bullet 1,Bullet Points,MAIN CONTENT,F5 List Paragraph,List Paragraph2,List Paragraph12,Colorful List - Accent 11,Normal numbered,OBC Bullet,L"/>
    <w:basedOn w:val="Normal"/>
    <w:link w:val="ListParagraphChar"/>
    <w:uiPriority w:val="34"/>
    <w:qFormat/>
    <w:rsid w:val="002D5A28"/>
    <w:pPr>
      <w:ind w:left="720"/>
      <w:contextualSpacing/>
    </w:pPr>
  </w:style>
  <w:style w:type="paragraph" w:styleId="NormalWeb">
    <w:name w:val="Normal (Web)"/>
    <w:basedOn w:val="Normal"/>
    <w:uiPriority w:val="99"/>
    <w:semiHidden/>
    <w:unhideWhenUsed/>
    <w:rsid w:val="004C2402"/>
    <w:pPr>
      <w:spacing w:before="100" w:beforeAutospacing="1" w:after="100" w:afterAutospacing="1"/>
    </w:pPr>
    <w:rPr>
      <w:rFonts w:ascii="Times New Roman" w:hAnsi="Times New Roman"/>
      <w:szCs w:val="24"/>
      <w:lang w:eastAsia="en-GB"/>
    </w:rPr>
  </w:style>
  <w:style w:type="character" w:styleId="Hyperlink">
    <w:name w:val="Hyperlink"/>
    <w:basedOn w:val="DefaultParagraphFont"/>
    <w:uiPriority w:val="99"/>
    <w:unhideWhenUsed/>
    <w:rsid w:val="00B74ED8"/>
    <w:rPr>
      <w:color w:val="0563C1" w:themeColor="hyperlink"/>
      <w:u w:val="single"/>
    </w:rPr>
  </w:style>
  <w:style w:type="table" w:styleId="TableGrid">
    <w:name w:val="Table Grid"/>
    <w:basedOn w:val="TableNormal"/>
    <w:uiPriority w:val="39"/>
    <w:rsid w:val="006008FC"/>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F5 List Paragraph Char,List Paragraph2 Char,L Char"/>
    <w:link w:val="ListParagraph"/>
    <w:uiPriority w:val="1"/>
    <w:qFormat/>
    <w:locked/>
    <w:rsid w:val="006008FC"/>
    <w:rPr>
      <w:rFonts w:ascii="Arial" w:hAnsi="Arial" w:cs="Times New Roman"/>
      <w:sz w:val="24"/>
      <w:szCs w:val="20"/>
    </w:rPr>
  </w:style>
  <w:style w:type="character" w:styleId="CommentReference">
    <w:name w:val="annotation reference"/>
    <w:basedOn w:val="DefaultParagraphFont"/>
    <w:uiPriority w:val="99"/>
    <w:semiHidden/>
    <w:unhideWhenUsed/>
    <w:rsid w:val="006008FC"/>
    <w:rPr>
      <w:sz w:val="16"/>
      <w:szCs w:val="16"/>
    </w:rPr>
  </w:style>
  <w:style w:type="paragraph" w:styleId="CommentText">
    <w:name w:val="annotation text"/>
    <w:basedOn w:val="Normal"/>
    <w:link w:val="CommentTextChar"/>
    <w:uiPriority w:val="99"/>
    <w:semiHidden/>
    <w:unhideWhenUsed/>
    <w:rsid w:val="006008FC"/>
    <w:rPr>
      <w:sz w:val="20"/>
    </w:rPr>
  </w:style>
  <w:style w:type="character" w:customStyle="1" w:styleId="CommentTextChar">
    <w:name w:val="Comment Text Char"/>
    <w:basedOn w:val="DefaultParagraphFont"/>
    <w:link w:val="CommentText"/>
    <w:uiPriority w:val="99"/>
    <w:semiHidden/>
    <w:rsid w:val="006008FC"/>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6008FC"/>
    <w:rPr>
      <w:b/>
      <w:bCs/>
    </w:rPr>
  </w:style>
  <w:style w:type="character" w:customStyle="1" w:styleId="CommentSubjectChar">
    <w:name w:val="Comment Subject Char"/>
    <w:basedOn w:val="CommentTextChar"/>
    <w:link w:val="CommentSubject"/>
    <w:uiPriority w:val="99"/>
    <w:semiHidden/>
    <w:rsid w:val="006008FC"/>
    <w:rPr>
      <w:rFonts w:ascii="Arial" w:hAnsi="Arial" w:cs="Times New Roman"/>
      <w:b/>
      <w:bCs/>
      <w:sz w:val="20"/>
      <w:szCs w:val="20"/>
    </w:rPr>
  </w:style>
  <w:style w:type="paragraph" w:styleId="BalloonText">
    <w:name w:val="Balloon Text"/>
    <w:basedOn w:val="Normal"/>
    <w:link w:val="BalloonTextChar"/>
    <w:uiPriority w:val="99"/>
    <w:semiHidden/>
    <w:unhideWhenUsed/>
    <w:rsid w:val="006008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8FC"/>
    <w:rPr>
      <w:rFonts w:ascii="Segoe UI" w:hAnsi="Segoe UI" w:cs="Segoe UI"/>
      <w:sz w:val="18"/>
      <w:szCs w:val="18"/>
    </w:rPr>
  </w:style>
  <w:style w:type="paragraph" w:customStyle="1" w:styleId="BillADPara">
    <w:name w:val="BillADPara"/>
    <w:basedOn w:val="Normal"/>
    <w:uiPriority w:val="7"/>
    <w:rsid w:val="009A4835"/>
    <w:pPr>
      <w:numPr>
        <w:numId w:val="21"/>
      </w:numPr>
      <w:tabs>
        <w:tab w:val="left" w:pos="1418"/>
        <w:tab w:val="left" w:pos="2126"/>
        <w:tab w:val="left" w:pos="2835"/>
        <w:tab w:val="left" w:pos="3544"/>
        <w:tab w:val="left" w:pos="4253"/>
        <w:tab w:val="left" w:pos="4961"/>
        <w:tab w:val="left" w:pos="5670"/>
      </w:tabs>
      <w:spacing w:after="360"/>
      <w:jc w:val="both"/>
    </w:pPr>
    <w:rPr>
      <w:rFonts w:ascii="Times New Roman" w:hAnsi="Times New Roman"/>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BB4"/>
    <w:rPr>
      <w:rFonts w:ascii="Arial" w:hAnsi="Arial" w:cs="Times New Roman"/>
      <w:sz w:val="24"/>
      <w:szCs w:val="20"/>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ListParagraph">
    <w:name w:val="List Paragraph"/>
    <w:aliases w:val="Dot pt,No Spacing1,List Paragraph Char Char Char,Indicator Text,Numbered Para 1,List Paragraph1,Bullet 1,Bullet Points,MAIN CONTENT,F5 List Paragraph,List Paragraph2,List Paragraph12,Colorful List - Accent 11,Normal numbered,OBC Bullet,L"/>
    <w:basedOn w:val="Normal"/>
    <w:link w:val="ListParagraphChar"/>
    <w:uiPriority w:val="34"/>
    <w:qFormat/>
    <w:rsid w:val="002D5A28"/>
    <w:pPr>
      <w:ind w:left="720"/>
      <w:contextualSpacing/>
    </w:pPr>
  </w:style>
  <w:style w:type="paragraph" w:styleId="NormalWeb">
    <w:name w:val="Normal (Web)"/>
    <w:basedOn w:val="Normal"/>
    <w:uiPriority w:val="99"/>
    <w:semiHidden/>
    <w:unhideWhenUsed/>
    <w:rsid w:val="004C2402"/>
    <w:pPr>
      <w:spacing w:before="100" w:beforeAutospacing="1" w:after="100" w:afterAutospacing="1"/>
    </w:pPr>
    <w:rPr>
      <w:rFonts w:ascii="Times New Roman" w:hAnsi="Times New Roman"/>
      <w:szCs w:val="24"/>
      <w:lang w:eastAsia="en-GB"/>
    </w:rPr>
  </w:style>
  <w:style w:type="character" w:styleId="Hyperlink">
    <w:name w:val="Hyperlink"/>
    <w:basedOn w:val="DefaultParagraphFont"/>
    <w:uiPriority w:val="99"/>
    <w:unhideWhenUsed/>
    <w:rsid w:val="00B74ED8"/>
    <w:rPr>
      <w:color w:val="0563C1" w:themeColor="hyperlink"/>
      <w:u w:val="single"/>
    </w:rPr>
  </w:style>
  <w:style w:type="table" w:styleId="TableGrid">
    <w:name w:val="Table Grid"/>
    <w:basedOn w:val="TableNormal"/>
    <w:uiPriority w:val="39"/>
    <w:rsid w:val="006008FC"/>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F5 List Paragraph Char,List Paragraph2 Char,L Char"/>
    <w:link w:val="ListParagraph"/>
    <w:uiPriority w:val="1"/>
    <w:qFormat/>
    <w:locked/>
    <w:rsid w:val="006008FC"/>
    <w:rPr>
      <w:rFonts w:ascii="Arial" w:hAnsi="Arial" w:cs="Times New Roman"/>
      <w:sz w:val="24"/>
      <w:szCs w:val="20"/>
    </w:rPr>
  </w:style>
  <w:style w:type="character" w:styleId="CommentReference">
    <w:name w:val="annotation reference"/>
    <w:basedOn w:val="DefaultParagraphFont"/>
    <w:uiPriority w:val="99"/>
    <w:semiHidden/>
    <w:unhideWhenUsed/>
    <w:rsid w:val="006008FC"/>
    <w:rPr>
      <w:sz w:val="16"/>
      <w:szCs w:val="16"/>
    </w:rPr>
  </w:style>
  <w:style w:type="paragraph" w:styleId="CommentText">
    <w:name w:val="annotation text"/>
    <w:basedOn w:val="Normal"/>
    <w:link w:val="CommentTextChar"/>
    <w:uiPriority w:val="99"/>
    <w:semiHidden/>
    <w:unhideWhenUsed/>
    <w:rsid w:val="006008FC"/>
    <w:rPr>
      <w:sz w:val="20"/>
    </w:rPr>
  </w:style>
  <w:style w:type="character" w:customStyle="1" w:styleId="CommentTextChar">
    <w:name w:val="Comment Text Char"/>
    <w:basedOn w:val="DefaultParagraphFont"/>
    <w:link w:val="CommentText"/>
    <w:uiPriority w:val="99"/>
    <w:semiHidden/>
    <w:rsid w:val="006008FC"/>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6008FC"/>
    <w:rPr>
      <w:b/>
      <w:bCs/>
    </w:rPr>
  </w:style>
  <w:style w:type="character" w:customStyle="1" w:styleId="CommentSubjectChar">
    <w:name w:val="Comment Subject Char"/>
    <w:basedOn w:val="CommentTextChar"/>
    <w:link w:val="CommentSubject"/>
    <w:uiPriority w:val="99"/>
    <w:semiHidden/>
    <w:rsid w:val="006008FC"/>
    <w:rPr>
      <w:rFonts w:ascii="Arial" w:hAnsi="Arial" w:cs="Times New Roman"/>
      <w:b/>
      <w:bCs/>
      <w:sz w:val="20"/>
      <w:szCs w:val="20"/>
    </w:rPr>
  </w:style>
  <w:style w:type="paragraph" w:styleId="BalloonText">
    <w:name w:val="Balloon Text"/>
    <w:basedOn w:val="Normal"/>
    <w:link w:val="BalloonTextChar"/>
    <w:uiPriority w:val="99"/>
    <w:semiHidden/>
    <w:unhideWhenUsed/>
    <w:rsid w:val="006008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8FC"/>
    <w:rPr>
      <w:rFonts w:ascii="Segoe UI" w:hAnsi="Segoe UI" w:cs="Segoe UI"/>
      <w:sz w:val="18"/>
      <w:szCs w:val="18"/>
    </w:rPr>
  </w:style>
  <w:style w:type="paragraph" w:customStyle="1" w:styleId="BillADPara">
    <w:name w:val="BillADPara"/>
    <w:basedOn w:val="Normal"/>
    <w:uiPriority w:val="7"/>
    <w:rsid w:val="009A4835"/>
    <w:pPr>
      <w:numPr>
        <w:numId w:val="21"/>
      </w:numPr>
      <w:tabs>
        <w:tab w:val="left" w:pos="1418"/>
        <w:tab w:val="left" w:pos="2126"/>
        <w:tab w:val="left" w:pos="2835"/>
        <w:tab w:val="left" w:pos="3544"/>
        <w:tab w:val="left" w:pos="4253"/>
        <w:tab w:val="left" w:pos="4961"/>
        <w:tab w:val="left" w:pos="5670"/>
      </w:tabs>
      <w:spacing w:after="360"/>
      <w:jc w:val="both"/>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49449">
      <w:bodyDiv w:val="1"/>
      <w:marLeft w:val="0"/>
      <w:marRight w:val="0"/>
      <w:marTop w:val="0"/>
      <w:marBottom w:val="0"/>
      <w:divBdr>
        <w:top w:val="none" w:sz="0" w:space="0" w:color="auto"/>
        <w:left w:val="none" w:sz="0" w:space="0" w:color="auto"/>
        <w:bottom w:val="none" w:sz="0" w:space="0" w:color="auto"/>
        <w:right w:val="none" w:sz="0" w:space="0" w:color="auto"/>
      </w:divBdr>
    </w:div>
    <w:div w:id="154493408">
      <w:bodyDiv w:val="1"/>
      <w:marLeft w:val="0"/>
      <w:marRight w:val="0"/>
      <w:marTop w:val="0"/>
      <w:marBottom w:val="0"/>
      <w:divBdr>
        <w:top w:val="none" w:sz="0" w:space="0" w:color="auto"/>
        <w:left w:val="none" w:sz="0" w:space="0" w:color="auto"/>
        <w:bottom w:val="none" w:sz="0" w:space="0" w:color="auto"/>
        <w:right w:val="none" w:sz="0" w:space="0" w:color="auto"/>
      </w:divBdr>
    </w:div>
    <w:div w:id="170028305">
      <w:bodyDiv w:val="1"/>
      <w:marLeft w:val="0"/>
      <w:marRight w:val="0"/>
      <w:marTop w:val="0"/>
      <w:marBottom w:val="0"/>
      <w:divBdr>
        <w:top w:val="none" w:sz="0" w:space="0" w:color="auto"/>
        <w:left w:val="none" w:sz="0" w:space="0" w:color="auto"/>
        <w:bottom w:val="none" w:sz="0" w:space="0" w:color="auto"/>
        <w:right w:val="none" w:sz="0" w:space="0" w:color="auto"/>
      </w:divBdr>
    </w:div>
    <w:div w:id="318653721">
      <w:bodyDiv w:val="1"/>
      <w:marLeft w:val="0"/>
      <w:marRight w:val="0"/>
      <w:marTop w:val="0"/>
      <w:marBottom w:val="0"/>
      <w:divBdr>
        <w:top w:val="none" w:sz="0" w:space="0" w:color="auto"/>
        <w:left w:val="none" w:sz="0" w:space="0" w:color="auto"/>
        <w:bottom w:val="none" w:sz="0" w:space="0" w:color="auto"/>
        <w:right w:val="none" w:sz="0" w:space="0" w:color="auto"/>
      </w:divBdr>
    </w:div>
    <w:div w:id="414939419">
      <w:bodyDiv w:val="1"/>
      <w:marLeft w:val="0"/>
      <w:marRight w:val="0"/>
      <w:marTop w:val="0"/>
      <w:marBottom w:val="0"/>
      <w:divBdr>
        <w:top w:val="none" w:sz="0" w:space="0" w:color="auto"/>
        <w:left w:val="none" w:sz="0" w:space="0" w:color="auto"/>
        <w:bottom w:val="none" w:sz="0" w:space="0" w:color="auto"/>
        <w:right w:val="none" w:sz="0" w:space="0" w:color="auto"/>
      </w:divBdr>
    </w:div>
    <w:div w:id="424231314">
      <w:bodyDiv w:val="1"/>
      <w:marLeft w:val="0"/>
      <w:marRight w:val="0"/>
      <w:marTop w:val="0"/>
      <w:marBottom w:val="0"/>
      <w:divBdr>
        <w:top w:val="none" w:sz="0" w:space="0" w:color="auto"/>
        <w:left w:val="none" w:sz="0" w:space="0" w:color="auto"/>
        <w:bottom w:val="none" w:sz="0" w:space="0" w:color="auto"/>
        <w:right w:val="none" w:sz="0" w:space="0" w:color="auto"/>
      </w:divBdr>
    </w:div>
    <w:div w:id="521817378">
      <w:bodyDiv w:val="1"/>
      <w:marLeft w:val="0"/>
      <w:marRight w:val="0"/>
      <w:marTop w:val="0"/>
      <w:marBottom w:val="0"/>
      <w:divBdr>
        <w:top w:val="none" w:sz="0" w:space="0" w:color="auto"/>
        <w:left w:val="none" w:sz="0" w:space="0" w:color="auto"/>
        <w:bottom w:val="none" w:sz="0" w:space="0" w:color="auto"/>
        <w:right w:val="none" w:sz="0" w:space="0" w:color="auto"/>
      </w:divBdr>
    </w:div>
    <w:div w:id="567692303">
      <w:bodyDiv w:val="1"/>
      <w:marLeft w:val="0"/>
      <w:marRight w:val="0"/>
      <w:marTop w:val="0"/>
      <w:marBottom w:val="0"/>
      <w:divBdr>
        <w:top w:val="none" w:sz="0" w:space="0" w:color="auto"/>
        <w:left w:val="none" w:sz="0" w:space="0" w:color="auto"/>
        <w:bottom w:val="none" w:sz="0" w:space="0" w:color="auto"/>
        <w:right w:val="none" w:sz="0" w:space="0" w:color="auto"/>
      </w:divBdr>
    </w:div>
    <w:div w:id="664751063">
      <w:bodyDiv w:val="1"/>
      <w:marLeft w:val="0"/>
      <w:marRight w:val="0"/>
      <w:marTop w:val="0"/>
      <w:marBottom w:val="0"/>
      <w:divBdr>
        <w:top w:val="none" w:sz="0" w:space="0" w:color="auto"/>
        <w:left w:val="none" w:sz="0" w:space="0" w:color="auto"/>
        <w:bottom w:val="none" w:sz="0" w:space="0" w:color="auto"/>
        <w:right w:val="none" w:sz="0" w:space="0" w:color="auto"/>
      </w:divBdr>
    </w:div>
    <w:div w:id="701436825">
      <w:bodyDiv w:val="1"/>
      <w:marLeft w:val="0"/>
      <w:marRight w:val="0"/>
      <w:marTop w:val="0"/>
      <w:marBottom w:val="0"/>
      <w:divBdr>
        <w:top w:val="none" w:sz="0" w:space="0" w:color="auto"/>
        <w:left w:val="none" w:sz="0" w:space="0" w:color="auto"/>
        <w:bottom w:val="none" w:sz="0" w:space="0" w:color="auto"/>
        <w:right w:val="none" w:sz="0" w:space="0" w:color="auto"/>
      </w:divBdr>
    </w:div>
    <w:div w:id="731654849">
      <w:bodyDiv w:val="1"/>
      <w:marLeft w:val="0"/>
      <w:marRight w:val="0"/>
      <w:marTop w:val="0"/>
      <w:marBottom w:val="0"/>
      <w:divBdr>
        <w:top w:val="none" w:sz="0" w:space="0" w:color="auto"/>
        <w:left w:val="none" w:sz="0" w:space="0" w:color="auto"/>
        <w:bottom w:val="none" w:sz="0" w:space="0" w:color="auto"/>
        <w:right w:val="none" w:sz="0" w:space="0" w:color="auto"/>
      </w:divBdr>
    </w:div>
    <w:div w:id="796601614">
      <w:bodyDiv w:val="1"/>
      <w:marLeft w:val="0"/>
      <w:marRight w:val="0"/>
      <w:marTop w:val="0"/>
      <w:marBottom w:val="0"/>
      <w:divBdr>
        <w:top w:val="none" w:sz="0" w:space="0" w:color="auto"/>
        <w:left w:val="none" w:sz="0" w:space="0" w:color="auto"/>
        <w:bottom w:val="none" w:sz="0" w:space="0" w:color="auto"/>
        <w:right w:val="none" w:sz="0" w:space="0" w:color="auto"/>
      </w:divBdr>
    </w:div>
    <w:div w:id="856581435">
      <w:bodyDiv w:val="1"/>
      <w:marLeft w:val="0"/>
      <w:marRight w:val="0"/>
      <w:marTop w:val="0"/>
      <w:marBottom w:val="0"/>
      <w:divBdr>
        <w:top w:val="none" w:sz="0" w:space="0" w:color="auto"/>
        <w:left w:val="none" w:sz="0" w:space="0" w:color="auto"/>
        <w:bottom w:val="none" w:sz="0" w:space="0" w:color="auto"/>
        <w:right w:val="none" w:sz="0" w:space="0" w:color="auto"/>
      </w:divBdr>
    </w:div>
    <w:div w:id="888810168">
      <w:bodyDiv w:val="1"/>
      <w:marLeft w:val="0"/>
      <w:marRight w:val="0"/>
      <w:marTop w:val="0"/>
      <w:marBottom w:val="0"/>
      <w:divBdr>
        <w:top w:val="none" w:sz="0" w:space="0" w:color="auto"/>
        <w:left w:val="none" w:sz="0" w:space="0" w:color="auto"/>
        <w:bottom w:val="none" w:sz="0" w:space="0" w:color="auto"/>
        <w:right w:val="none" w:sz="0" w:space="0" w:color="auto"/>
      </w:divBdr>
    </w:div>
    <w:div w:id="919675066">
      <w:bodyDiv w:val="1"/>
      <w:marLeft w:val="0"/>
      <w:marRight w:val="0"/>
      <w:marTop w:val="0"/>
      <w:marBottom w:val="0"/>
      <w:divBdr>
        <w:top w:val="none" w:sz="0" w:space="0" w:color="auto"/>
        <w:left w:val="none" w:sz="0" w:space="0" w:color="auto"/>
        <w:bottom w:val="none" w:sz="0" w:space="0" w:color="auto"/>
        <w:right w:val="none" w:sz="0" w:space="0" w:color="auto"/>
      </w:divBdr>
    </w:div>
    <w:div w:id="953562631">
      <w:bodyDiv w:val="1"/>
      <w:marLeft w:val="0"/>
      <w:marRight w:val="0"/>
      <w:marTop w:val="0"/>
      <w:marBottom w:val="0"/>
      <w:divBdr>
        <w:top w:val="none" w:sz="0" w:space="0" w:color="auto"/>
        <w:left w:val="none" w:sz="0" w:space="0" w:color="auto"/>
        <w:bottom w:val="none" w:sz="0" w:space="0" w:color="auto"/>
        <w:right w:val="none" w:sz="0" w:space="0" w:color="auto"/>
      </w:divBdr>
    </w:div>
    <w:div w:id="1036270174">
      <w:bodyDiv w:val="1"/>
      <w:marLeft w:val="0"/>
      <w:marRight w:val="0"/>
      <w:marTop w:val="0"/>
      <w:marBottom w:val="0"/>
      <w:divBdr>
        <w:top w:val="none" w:sz="0" w:space="0" w:color="auto"/>
        <w:left w:val="none" w:sz="0" w:space="0" w:color="auto"/>
        <w:bottom w:val="none" w:sz="0" w:space="0" w:color="auto"/>
        <w:right w:val="none" w:sz="0" w:space="0" w:color="auto"/>
      </w:divBdr>
    </w:div>
    <w:div w:id="1082022714">
      <w:bodyDiv w:val="1"/>
      <w:marLeft w:val="0"/>
      <w:marRight w:val="0"/>
      <w:marTop w:val="0"/>
      <w:marBottom w:val="0"/>
      <w:divBdr>
        <w:top w:val="none" w:sz="0" w:space="0" w:color="auto"/>
        <w:left w:val="none" w:sz="0" w:space="0" w:color="auto"/>
        <w:bottom w:val="none" w:sz="0" w:space="0" w:color="auto"/>
        <w:right w:val="none" w:sz="0" w:space="0" w:color="auto"/>
      </w:divBdr>
    </w:div>
    <w:div w:id="1136218523">
      <w:bodyDiv w:val="1"/>
      <w:marLeft w:val="0"/>
      <w:marRight w:val="0"/>
      <w:marTop w:val="0"/>
      <w:marBottom w:val="0"/>
      <w:divBdr>
        <w:top w:val="none" w:sz="0" w:space="0" w:color="auto"/>
        <w:left w:val="none" w:sz="0" w:space="0" w:color="auto"/>
        <w:bottom w:val="none" w:sz="0" w:space="0" w:color="auto"/>
        <w:right w:val="none" w:sz="0" w:space="0" w:color="auto"/>
      </w:divBdr>
    </w:div>
    <w:div w:id="1448624646">
      <w:bodyDiv w:val="1"/>
      <w:marLeft w:val="0"/>
      <w:marRight w:val="0"/>
      <w:marTop w:val="0"/>
      <w:marBottom w:val="0"/>
      <w:divBdr>
        <w:top w:val="none" w:sz="0" w:space="0" w:color="auto"/>
        <w:left w:val="none" w:sz="0" w:space="0" w:color="auto"/>
        <w:bottom w:val="none" w:sz="0" w:space="0" w:color="auto"/>
        <w:right w:val="none" w:sz="0" w:space="0" w:color="auto"/>
      </w:divBdr>
    </w:div>
    <w:div w:id="1697583034">
      <w:bodyDiv w:val="1"/>
      <w:marLeft w:val="0"/>
      <w:marRight w:val="0"/>
      <w:marTop w:val="0"/>
      <w:marBottom w:val="0"/>
      <w:divBdr>
        <w:top w:val="none" w:sz="0" w:space="0" w:color="auto"/>
        <w:left w:val="none" w:sz="0" w:space="0" w:color="auto"/>
        <w:bottom w:val="none" w:sz="0" w:space="0" w:color="auto"/>
        <w:right w:val="none" w:sz="0" w:space="0" w:color="auto"/>
      </w:divBdr>
    </w:div>
    <w:div w:id="1875338333">
      <w:bodyDiv w:val="1"/>
      <w:marLeft w:val="0"/>
      <w:marRight w:val="0"/>
      <w:marTop w:val="0"/>
      <w:marBottom w:val="0"/>
      <w:divBdr>
        <w:top w:val="none" w:sz="0" w:space="0" w:color="auto"/>
        <w:left w:val="none" w:sz="0" w:space="0" w:color="auto"/>
        <w:bottom w:val="none" w:sz="0" w:space="0" w:color="auto"/>
        <w:right w:val="none" w:sz="0" w:space="0" w:color="auto"/>
      </w:divBdr>
    </w:div>
    <w:div w:id="1947150478">
      <w:bodyDiv w:val="1"/>
      <w:marLeft w:val="0"/>
      <w:marRight w:val="0"/>
      <w:marTop w:val="0"/>
      <w:marBottom w:val="0"/>
      <w:divBdr>
        <w:top w:val="none" w:sz="0" w:space="0" w:color="auto"/>
        <w:left w:val="none" w:sz="0" w:space="0" w:color="auto"/>
        <w:bottom w:val="none" w:sz="0" w:space="0" w:color="auto"/>
        <w:right w:val="none" w:sz="0" w:space="0" w:color="auto"/>
      </w:divBdr>
    </w:div>
    <w:div w:id="2092044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line.Brice@gov.scot" TargetMode="External"/><Relationship Id="rId3" Type="http://schemas.openxmlformats.org/officeDocument/2006/relationships/styles" Target="styles.xml"/><Relationship Id="rId7" Type="http://schemas.openxmlformats.org/officeDocument/2006/relationships/hyperlink" Target="mailto:Michael.Boal@gov.sc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Yvonne.Gavan@gov.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53D26341A57B383EE0540010E0463CCA" version="1.0.0">
  <systemFields>
    <field name="Objective-Id">
      <value order="0">A27813046</value>
    </field>
    <field name="Objective-Title">
      <value order="0">Coronavirus (Scotland) Act - Guidance to Scottish Government stakeholders</value>
    </field>
    <field name="Objective-Description">
      <value order="0"/>
    </field>
    <field name="Objective-CreationStamp">
      <value order="0">2020-04-02T16:08:13Z</value>
    </field>
    <field name="Objective-IsApproved">
      <value order="0">false</value>
    </field>
    <field name="Objective-IsPublished">
      <value order="0">false</value>
    </field>
    <field name="Objective-DatePublished">
      <value order="0"/>
    </field>
    <field name="Objective-ModificationStamp">
      <value order="0">2020-04-05T09:13:03Z</value>
    </field>
    <field name="Objective-Owner">
      <value order="0">Birrell, Michael M (U208682)</value>
    </field>
    <field name="Objective-Path">
      <value order="0">Objective Global Folder:SG File Plan:Government, politics and public administration:Constitution:Scottish Parliament:Advice and policy: Scottish Parliament:Coronavirus (Scotland) Bill: Engagement with key stakeholders: 2020-2025</value>
    </field>
    <field name="Objective-Parent">
      <value order="0">Coronavirus (Scotland) Bill: Engagement with key stakeholders: 2020-2025</value>
    </field>
    <field name="Objective-State">
      <value order="0">Being Drafted</value>
    </field>
    <field name="Objective-VersionId">
      <value order="0">vA40369196</value>
    </field>
    <field name="Objective-Version">
      <value order="0">0.10</value>
    </field>
    <field name="Objective-VersionNumber">
      <value order="0">10</value>
    </field>
    <field name="Objective-VersionComment">
      <value order="0"/>
    </field>
    <field name="Objective-FileNumber">
      <value order="0">POL/34114</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6986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Birrell M (Michael)</dc:creator>
  <cp:lastModifiedBy>comittlaptop</cp:lastModifiedBy>
  <cp:revision>2</cp:revision>
  <dcterms:created xsi:type="dcterms:W3CDTF">2020-04-27T08:48:00Z</dcterms:created>
  <dcterms:modified xsi:type="dcterms:W3CDTF">2020-04-27T08:48:00Z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A27813046</vt:lpwstr>
  </property>
  <property fmtid="{D5CDD505-2E9C-101B-9397-08002B2CF9AE}" pid="4" name="Objective-Title">
    <vt:lpwstr>Coronavirus (Scotland) Act - Guidance to Scottish Government stakeholders</vt:lpwstr>
  </property>
  <property fmtid="{D5CDD505-2E9C-101B-9397-08002B2CF9AE}" pid="5" name="Objective-Description">
    <vt:lpwstr/>
  </property>
  <property fmtid="{D5CDD505-2E9C-101B-9397-08002B2CF9AE}" pid="6" name="Objective-CreationStamp">
    <vt:filetime>2020-04-02T16:09:18Z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2020-04-05T09:13:03Z</vt:filetime>
  </property>
  <property fmtid="{D5CDD505-2E9C-101B-9397-08002B2CF9AE}" pid="11" name="Objective-Owner">
    <vt:lpwstr>Birrell, Michael M (U208682)</vt:lpwstr>
  </property>
  <property fmtid="{D5CDD505-2E9C-101B-9397-08002B2CF9AE}" pid="12" name="Objective-Path">
    <vt:lpwstr>Objective Global Folder:SG File Plan:Government, politics and public administration:Constitution:Scottish Parliament:Advice and policy: Scottish Parliament:Coronavirus (Scotland) Bill: Engagement with key stakeholders: 2020-2025:</vt:lpwstr>
  </property>
  <property fmtid="{D5CDD505-2E9C-101B-9397-08002B2CF9AE}" pid="13" name="Objective-Parent">
    <vt:lpwstr>Coronavirus (Scotland) Bill: Engagement with key stakeholders: 2020-2025</vt:lpwstr>
  </property>
  <property fmtid="{D5CDD505-2E9C-101B-9397-08002B2CF9AE}" pid="14" name="Objective-State">
    <vt:lpwstr>Being Drafted</vt:lpwstr>
  </property>
  <property fmtid="{D5CDD505-2E9C-101B-9397-08002B2CF9AE}" pid="15" name="Objective-VersionId">
    <vt:lpwstr>vA40369196</vt:lpwstr>
  </property>
  <property fmtid="{D5CDD505-2E9C-101B-9397-08002B2CF9AE}" pid="16" name="Objective-Version">
    <vt:lpwstr>0.10</vt:lpwstr>
  </property>
  <property fmtid="{D5CDD505-2E9C-101B-9397-08002B2CF9AE}" pid="17" name="Objective-VersionNumber">
    <vt:r8>10</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Comment">
    <vt:lpwstr/>
  </property>
</Properties>
</file>